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F9C" w:rsidRDefault="00522F9C" w:rsidP="00522F9C">
      <w:pPr>
        <w:pStyle w:val="NormalWeb"/>
        <w:ind w:firstLine="720"/>
        <w:rPr>
          <w:rFonts w:asciiTheme="minorHAnsi" w:hAnsiTheme="minorHAnsi" w:cstheme="minorHAnsi"/>
          <w:b/>
          <w:sz w:val="22"/>
          <w:szCs w:val="22"/>
        </w:rPr>
      </w:pPr>
    </w:p>
    <w:p w:rsidR="00522F9C" w:rsidRDefault="00522F9C" w:rsidP="00522F9C">
      <w:pPr>
        <w:pStyle w:val="NormalWeb"/>
        <w:ind w:firstLine="720"/>
        <w:rPr>
          <w:rFonts w:asciiTheme="minorHAnsi" w:hAnsiTheme="minorHAnsi" w:cstheme="minorHAnsi"/>
          <w:b/>
          <w:sz w:val="22"/>
          <w:szCs w:val="22"/>
        </w:rPr>
      </w:pPr>
    </w:p>
    <w:p w:rsidR="00522F9C" w:rsidRPr="00522F9C" w:rsidRDefault="00522F9C" w:rsidP="00522F9C">
      <w:pPr>
        <w:pStyle w:val="NormalWeb"/>
        <w:rPr>
          <w:rFonts w:asciiTheme="minorHAnsi" w:hAnsiTheme="minorHAnsi" w:cstheme="minorHAnsi"/>
          <w:b/>
          <w:sz w:val="22"/>
          <w:szCs w:val="22"/>
        </w:rPr>
      </w:pPr>
      <w:r w:rsidRPr="00522F9C">
        <w:rPr>
          <w:rFonts w:asciiTheme="minorHAnsi" w:hAnsiTheme="minorHAnsi" w:cstheme="minorHAnsi"/>
          <w:b/>
          <w:sz w:val="22"/>
          <w:szCs w:val="22"/>
        </w:rPr>
        <w:t>S.B.316 requires students to undergo a comprehensive eye examination either prior to, or shortly after, implementation of an initial IEP.  It also requires ODE to collect and report data about the implementation of this law.  Although the data collection mechanism to fulfill the reporting requirement has not yet been identified, OEC believes that</w:t>
      </w:r>
      <w:bookmarkStart w:id="0" w:name="_GoBack"/>
      <w:bookmarkEnd w:id="0"/>
      <w:r w:rsidRPr="00522F9C">
        <w:rPr>
          <w:rFonts w:asciiTheme="minorHAnsi" w:hAnsiTheme="minorHAnsi" w:cstheme="minorHAnsi"/>
          <w:b/>
          <w:sz w:val="22"/>
          <w:szCs w:val="22"/>
        </w:rPr>
        <w:t xml:space="preserve"> data will be more accurate if districts maintain a record of eye exams throughout the school year.  </w:t>
      </w:r>
      <w:r>
        <w:rPr>
          <w:rFonts w:asciiTheme="minorHAnsi" w:hAnsiTheme="minorHAnsi" w:cstheme="minorHAnsi"/>
          <w:b/>
          <w:sz w:val="22"/>
          <w:szCs w:val="22"/>
        </w:rPr>
        <w:t xml:space="preserve">Attached </w:t>
      </w:r>
      <w:r w:rsidRPr="00522F9C">
        <w:rPr>
          <w:rFonts w:asciiTheme="minorHAnsi" w:hAnsiTheme="minorHAnsi" w:cstheme="minorHAnsi"/>
          <w:b/>
          <w:sz w:val="22"/>
          <w:szCs w:val="22"/>
        </w:rPr>
        <w:t xml:space="preserve"> is a tool that will assist in that effort. There is no requirement to use this</w:t>
      </w:r>
      <w:r>
        <w:rPr>
          <w:rFonts w:asciiTheme="minorHAnsi" w:hAnsiTheme="minorHAnsi" w:cstheme="minorHAnsi"/>
          <w:b/>
          <w:sz w:val="22"/>
          <w:szCs w:val="22"/>
        </w:rPr>
        <w:t xml:space="preserve"> particular</w:t>
      </w:r>
      <w:r w:rsidRPr="00522F9C">
        <w:rPr>
          <w:rFonts w:asciiTheme="minorHAnsi" w:hAnsiTheme="minorHAnsi" w:cstheme="minorHAnsi"/>
          <w:b/>
          <w:sz w:val="22"/>
          <w:szCs w:val="22"/>
        </w:rPr>
        <w:t xml:space="preserve"> tool, but the information on it will be collected at the end of the 2013 and subsequent school years. </w:t>
      </w:r>
      <w:r>
        <w:rPr>
          <w:rFonts w:asciiTheme="minorHAnsi" w:hAnsiTheme="minorHAnsi" w:cstheme="minorHAnsi"/>
          <w:b/>
          <w:sz w:val="22"/>
          <w:szCs w:val="22"/>
        </w:rPr>
        <w:t xml:space="preserve"> </w:t>
      </w:r>
    </w:p>
    <w:p w:rsidR="00522F9C" w:rsidRPr="00522F9C" w:rsidRDefault="00522F9C" w:rsidP="00522F9C">
      <w:pPr>
        <w:pStyle w:val="NormalWeb"/>
        <w:ind w:firstLine="720"/>
        <w:rPr>
          <w:rFonts w:asciiTheme="minorHAnsi" w:hAnsiTheme="minorHAnsi" w:cstheme="minorHAnsi"/>
          <w:sz w:val="20"/>
          <w:szCs w:val="20"/>
        </w:rPr>
      </w:pPr>
      <w:r w:rsidRPr="00522F9C">
        <w:rPr>
          <w:rFonts w:asciiTheme="minorHAnsi" w:hAnsiTheme="minorHAnsi" w:cstheme="minorHAnsi"/>
          <w:b/>
          <w:bCs/>
          <w:sz w:val="20"/>
          <w:szCs w:val="20"/>
        </w:rPr>
        <w:t>Sec.  3323.19. </w:t>
      </w:r>
      <w:r w:rsidRPr="00522F9C">
        <w:rPr>
          <w:rFonts w:asciiTheme="minorHAnsi" w:hAnsiTheme="minorHAnsi" w:cstheme="minorHAnsi"/>
          <w:sz w:val="20"/>
          <w:szCs w:val="20"/>
        </w:rPr>
        <w:t xml:space="preserve">(A) Within three months after a student identified with disabilities begins receiving services for the first time under an individualized education program, the school district in which that student is enrolled shall require the student to undergo a comprehensive eye examination performed either by an optometrist licensed under Chapter 4725. of the Revised Code or by a physician authorized under Chapter 4731. of the Revised Code to practice medicine and surgery or osteopathic medicine and surgery who is comprehensively trained and educated in the treatment of the human eye, eye disease, or comprehensive vision services, unless the student underwent such an examination within the nine-month period immediately prior to being identified with disabilities. </w:t>
      </w:r>
    </w:p>
    <w:p w:rsidR="00522F9C" w:rsidRPr="00522F9C" w:rsidRDefault="00522F9C" w:rsidP="00522F9C">
      <w:pPr>
        <w:pStyle w:val="NormalWeb"/>
        <w:ind w:firstLine="720"/>
        <w:rPr>
          <w:rFonts w:asciiTheme="minorHAnsi" w:hAnsiTheme="minorHAnsi" w:cstheme="minorHAnsi"/>
          <w:sz w:val="20"/>
          <w:szCs w:val="20"/>
        </w:rPr>
      </w:pPr>
      <w:r w:rsidRPr="00522F9C">
        <w:rPr>
          <w:rFonts w:asciiTheme="minorHAnsi" w:hAnsiTheme="minorHAnsi" w:cstheme="minorHAnsi"/>
          <w:sz w:val="20"/>
          <w:szCs w:val="20"/>
        </w:rPr>
        <w:t xml:space="preserve">However, no student who has not undergone the eye examination required under this section shall be prohibited from initiating, receiving, or continuing to receive services prescribed in the student's individualized education program. </w:t>
      </w:r>
    </w:p>
    <w:p w:rsidR="00522F9C" w:rsidRPr="00522F9C" w:rsidRDefault="00522F9C" w:rsidP="00522F9C">
      <w:pPr>
        <w:pStyle w:val="NormalWeb"/>
        <w:ind w:firstLine="720"/>
        <w:rPr>
          <w:rFonts w:asciiTheme="minorHAnsi" w:hAnsiTheme="minorHAnsi" w:cstheme="minorHAnsi"/>
          <w:sz w:val="20"/>
          <w:szCs w:val="20"/>
        </w:rPr>
      </w:pPr>
      <w:r w:rsidRPr="00522F9C">
        <w:rPr>
          <w:rFonts w:asciiTheme="minorHAnsi" w:hAnsiTheme="minorHAnsi" w:cstheme="minorHAnsi"/>
          <w:sz w:val="20"/>
          <w:szCs w:val="20"/>
        </w:rPr>
        <w:t xml:space="preserve">(B) The superintendent of each school district or the superintendent's designee may determine fulfillment of the requirement prescribed in division (A) of this section based on any special circumstances of the student, the student's parent, guardian, or family that may prevent the student from undergoing the eye examination prior to beginning special education services. </w:t>
      </w:r>
    </w:p>
    <w:p w:rsidR="00522F9C" w:rsidRPr="00522F9C" w:rsidRDefault="00522F9C" w:rsidP="00522F9C">
      <w:pPr>
        <w:pStyle w:val="NormalWeb"/>
        <w:ind w:firstLine="720"/>
        <w:rPr>
          <w:rFonts w:asciiTheme="minorHAnsi" w:hAnsiTheme="minorHAnsi" w:cstheme="minorHAnsi"/>
          <w:sz w:val="20"/>
          <w:szCs w:val="20"/>
        </w:rPr>
      </w:pPr>
      <w:r w:rsidRPr="00522F9C">
        <w:rPr>
          <w:rFonts w:asciiTheme="minorHAnsi" w:hAnsiTheme="minorHAnsi" w:cstheme="minorHAnsi"/>
          <w:sz w:val="20"/>
          <w:szCs w:val="20"/>
        </w:rPr>
        <w:t xml:space="preserve">(C) Except for a student who may be entitled to a comprehensive eye examination in the identification of the student's disabilities, in the development of the student's individualized education program, or as a related service under the student's individualized education program, neither the state nor any school district shall be responsible for paying for the eye examination required by this section. </w:t>
      </w:r>
    </w:p>
    <w:p w:rsidR="00522F9C" w:rsidRPr="00522F9C" w:rsidRDefault="00522F9C" w:rsidP="00522F9C">
      <w:pPr>
        <w:pStyle w:val="NormalWeb"/>
        <w:ind w:firstLine="720"/>
        <w:rPr>
          <w:rFonts w:asciiTheme="minorHAnsi" w:hAnsiTheme="minorHAnsi" w:cstheme="minorHAnsi"/>
          <w:sz w:val="20"/>
          <w:szCs w:val="20"/>
        </w:rPr>
      </w:pPr>
      <w:r w:rsidRPr="00522F9C">
        <w:rPr>
          <w:rFonts w:asciiTheme="minorHAnsi" w:hAnsiTheme="minorHAnsi" w:cstheme="minorHAnsi"/>
          <w:sz w:val="20"/>
          <w:szCs w:val="20"/>
          <w:u w:val="single"/>
        </w:rPr>
        <w:t>(D) The department of education annually shall do both of the following:</w:t>
      </w:r>
      <w:r w:rsidRPr="00522F9C">
        <w:rPr>
          <w:rFonts w:asciiTheme="minorHAnsi" w:hAnsiTheme="minorHAnsi" w:cstheme="minorHAnsi"/>
          <w:sz w:val="20"/>
          <w:szCs w:val="20"/>
        </w:rPr>
        <w:t xml:space="preserve"> </w:t>
      </w:r>
    </w:p>
    <w:p w:rsidR="00522F9C" w:rsidRPr="00522F9C" w:rsidRDefault="00522F9C" w:rsidP="00522F9C">
      <w:pPr>
        <w:pStyle w:val="NormalWeb"/>
        <w:ind w:firstLine="720"/>
        <w:rPr>
          <w:rFonts w:asciiTheme="minorHAnsi" w:hAnsiTheme="minorHAnsi" w:cstheme="minorHAnsi"/>
          <w:sz w:val="20"/>
          <w:szCs w:val="20"/>
        </w:rPr>
      </w:pPr>
      <w:r w:rsidRPr="00522F9C">
        <w:rPr>
          <w:rFonts w:asciiTheme="minorHAnsi" w:hAnsiTheme="minorHAnsi" w:cstheme="minorHAnsi"/>
          <w:sz w:val="20"/>
          <w:szCs w:val="20"/>
          <w:u w:val="single"/>
        </w:rPr>
        <w:t>(1) Notify each school district and community school of the requirements of this section;</w:t>
      </w:r>
      <w:r w:rsidRPr="00522F9C">
        <w:rPr>
          <w:rFonts w:asciiTheme="minorHAnsi" w:hAnsiTheme="minorHAnsi" w:cstheme="minorHAnsi"/>
          <w:sz w:val="20"/>
          <w:szCs w:val="20"/>
        </w:rPr>
        <w:t xml:space="preserve"> </w:t>
      </w:r>
    </w:p>
    <w:p w:rsidR="00522F9C" w:rsidRPr="00522F9C" w:rsidRDefault="00522F9C" w:rsidP="00522F9C">
      <w:pPr>
        <w:pStyle w:val="NormalWeb"/>
        <w:ind w:firstLine="720"/>
        <w:rPr>
          <w:rFonts w:asciiTheme="minorHAnsi" w:hAnsiTheme="minorHAnsi" w:cstheme="minorHAnsi"/>
          <w:sz w:val="20"/>
          <w:szCs w:val="20"/>
        </w:rPr>
      </w:pPr>
      <w:r w:rsidRPr="00522F9C">
        <w:rPr>
          <w:rFonts w:asciiTheme="minorHAnsi" w:hAnsiTheme="minorHAnsi" w:cstheme="minorHAnsi"/>
          <w:sz w:val="20"/>
          <w:szCs w:val="20"/>
          <w:u w:val="single"/>
        </w:rPr>
        <w:t>(2) Collect from each school district and community school the total number of students enrolled in the district who were subject to the requirements of this section and the total number of students who received the examination, as verified by documentation received from the district.</w:t>
      </w:r>
      <w:r w:rsidRPr="00522F9C">
        <w:rPr>
          <w:rFonts w:asciiTheme="minorHAnsi" w:hAnsiTheme="minorHAnsi" w:cstheme="minorHAnsi"/>
          <w:sz w:val="20"/>
          <w:szCs w:val="20"/>
        </w:rPr>
        <w:t xml:space="preserve"> </w:t>
      </w:r>
    </w:p>
    <w:p w:rsidR="00522F9C" w:rsidRDefault="00522F9C" w:rsidP="00522F9C">
      <w:pPr>
        <w:pStyle w:val="NormalWeb"/>
        <w:ind w:firstLine="720"/>
        <w:rPr>
          <w:b/>
          <w:sz w:val="32"/>
          <w:szCs w:val="32"/>
        </w:rPr>
      </w:pPr>
      <w:r w:rsidRPr="00522F9C">
        <w:rPr>
          <w:rFonts w:asciiTheme="minorHAnsi" w:hAnsiTheme="minorHAnsi" w:cstheme="minorHAnsi"/>
          <w:b/>
          <w:sz w:val="20"/>
          <w:szCs w:val="20"/>
        </w:rPr>
        <w:br w:type="page"/>
      </w:r>
      <w:r>
        <w:lastRenderedPageBreak/>
        <w:t xml:space="preserve"> </w:t>
      </w:r>
    </w:p>
    <w:p w:rsidR="004D6A35" w:rsidRPr="00C84EC1" w:rsidRDefault="00C84EC1" w:rsidP="00C84EC1">
      <w:pPr>
        <w:jc w:val="center"/>
        <w:rPr>
          <w:b/>
          <w:sz w:val="32"/>
          <w:szCs w:val="32"/>
        </w:rPr>
      </w:pPr>
      <w:r w:rsidRPr="00C84EC1">
        <w:rPr>
          <w:b/>
          <w:sz w:val="32"/>
          <w:szCs w:val="32"/>
        </w:rPr>
        <w:t>Tracking the Exams Required by S.B. 316</w:t>
      </w:r>
    </w:p>
    <w:p w:rsidR="00C84EC1" w:rsidRDefault="00C84EC1" w:rsidP="00C84EC1">
      <w:pPr>
        <w:jc w:val="center"/>
        <w:rPr>
          <w:b/>
          <w:sz w:val="32"/>
          <w:szCs w:val="32"/>
        </w:rPr>
      </w:pPr>
      <w:r w:rsidRPr="00C84EC1">
        <w:rPr>
          <w:b/>
          <w:sz w:val="32"/>
          <w:szCs w:val="32"/>
        </w:rPr>
        <w:t>2012-2013</w:t>
      </w:r>
    </w:p>
    <w:p w:rsidR="00C84EC1" w:rsidRDefault="00C84EC1" w:rsidP="00C84EC1">
      <w:pPr>
        <w:jc w:val="center"/>
        <w:rPr>
          <w:b/>
          <w:sz w:val="32"/>
          <w:szCs w:val="32"/>
        </w:rPr>
      </w:pPr>
    </w:p>
    <w:tbl>
      <w:tblPr>
        <w:tblStyle w:val="TableGrid"/>
        <w:tblW w:w="0" w:type="auto"/>
        <w:tblLook w:val="04A0" w:firstRow="1" w:lastRow="0" w:firstColumn="1" w:lastColumn="0" w:noHBand="0" w:noVBand="1"/>
      </w:tblPr>
      <w:tblGrid>
        <w:gridCol w:w="1675"/>
        <w:gridCol w:w="2573"/>
        <w:gridCol w:w="3420"/>
        <w:gridCol w:w="1800"/>
        <w:gridCol w:w="3600"/>
      </w:tblGrid>
      <w:tr w:rsidR="00D72309" w:rsidRPr="00D72309" w:rsidTr="00D72309">
        <w:tc>
          <w:tcPr>
            <w:tcW w:w="1675" w:type="dxa"/>
            <w:shd w:val="clear" w:color="auto" w:fill="943634" w:themeFill="accent2" w:themeFillShade="BF"/>
          </w:tcPr>
          <w:p w:rsidR="00612B73" w:rsidRPr="00D72309" w:rsidRDefault="00612B73" w:rsidP="00C84EC1">
            <w:pPr>
              <w:jc w:val="center"/>
              <w:rPr>
                <w:b/>
                <w:color w:val="FFFFFF" w:themeColor="background1"/>
                <w:sz w:val="32"/>
                <w:szCs w:val="32"/>
              </w:rPr>
            </w:pPr>
            <w:r w:rsidRPr="00D72309">
              <w:rPr>
                <w:b/>
                <w:color w:val="FFFFFF" w:themeColor="background1"/>
                <w:sz w:val="32"/>
                <w:szCs w:val="32"/>
              </w:rPr>
              <w:t>Student ID</w:t>
            </w:r>
          </w:p>
        </w:tc>
        <w:tc>
          <w:tcPr>
            <w:tcW w:w="2573" w:type="dxa"/>
            <w:shd w:val="clear" w:color="auto" w:fill="943634" w:themeFill="accent2" w:themeFillShade="BF"/>
          </w:tcPr>
          <w:p w:rsidR="00612B73" w:rsidRPr="00D72309" w:rsidRDefault="00612B73" w:rsidP="00612B73">
            <w:pPr>
              <w:jc w:val="center"/>
              <w:rPr>
                <w:b/>
                <w:color w:val="FFFFFF" w:themeColor="background1"/>
                <w:sz w:val="32"/>
                <w:szCs w:val="32"/>
              </w:rPr>
            </w:pPr>
            <w:r w:rsidRPr="00D72309">
              <w:rPr>
                <w:b/>
                <w:color w:val="FFFFFF" w:themeColor="background1"/>
                <w:sz w:val="32"/>
                <w:szCs w:val="32"/>
              </w:rPr>
              <w:t>Date Initial IEP’s Services Began</w:t>
            </w:r>
          </w:p>
        </w:tc>
        <w:tc>
          <w:tcPr>
            <w:tcW w:w="3420" w:type="dxa"/>
            <w:shd w:val="clear" w:color="auto" w:fill="943634" w:themeFill="accent2" w:themeFillShade="BF"/>
          </w:tcPr>
          <w:p w:rsidR="00612B73" w:rsidRPr="00D72309" w:rsidRDefault="00612B73" w:rsidP="00C84EC1">
            <w:pPr>
              <w:jc w:val="center"/>
              <w:rPr>
                <w:b/>
                <w:color w:val="FFFFFF" w:themeColor="background1"/>
                <w:sz w:val="32"/>
                <w:szCs w:val="32"/>
              </w:rPr>
            </w:pPr>
            <w:r w:rsidRPr="00D72309">
              <w:rPr>
                <w:b/>
                <w:color w:val="FFFFFF" w:themeColor="background1"/>
                <w:sz w:val="32"/>
                <w:szCs w:val="32"/>
              </w:rPr>
              <w:t>Date parents notified of requirement for eye exam</w:t>
            </w:r>
          </w:p>
        </w:tc>
        <w:tc>
          <w:tcPr>
            <w:tcW w:w="1800" w:type="dxa"/>
            <w:shd w:val="clear" w:color="auto" w:fill="943634" w:themeFill="accent2" w:themeFillShade="BF"/>
          </w:tcPr>
          <w:p w:rsidR="00612B73" w:rsidRPr="00D72309" w:rsidRDefault="00612B73" w:rsidP="00C84EC1">
            <w:pPr>
              <w:jc w:val="center"/>
              <w:rPr>
                <w:b/>
                <w:color w:val="FFFFFF" w:themeColor="background1"/>
                <w:sz w:val="32"/>
                <w:szCs w:val="32"/>
              </w:rPr>
            </w:pPr>
            <w:r w:rsidRPr="00D72309">
              <w:rPr>
                <w:b/>
                <w:color w:val="FFFFFF" w:themeColor="background1"/>
                <w:sz w:val="32"/>
                <w:szCs w:val="32"/>
              </w:rPr>
              <w:t xml:space="preserve">Date of eye exam </w:t>
            </w:r>
          </w:p>
        </w:tc>
        <w:tc>
          <w:tcPr>
            <w:tcW w:w="3600" w:type="dxa"/>
            <w:shd w:val="clear" w:color="auto" w:fill="943634" w:themeFill="accent2" w:themeFillShade="BF"/>
          </w:tcPr>
          <w:p w:rsidR="00612B73" w:rsidRPr="00D72309" w:rsidRDefault="00612B73" w:rsidP="00C84EC1">
            <w:pPr>
              <w:jc w:val="center"/>
              <w:rPr>
                <w:b/>
                <w:color w:val="FFFFFF" w:themeColor="background1"/>
                <w:sz w:val="32"/>
                <w:szCs w:val="32"/>
              </w:rPr>
            </w:pPr>
            <w:r w:rsidRPr="00D72309">
              <w:rPr>
                <w:b/>
                <w:color w:val="FFFFFF" w:themeColor="background1"/>
                <w:sz w:val="32"/>
                <w:szCs w:val="32"/>
              </w:rPr>
              <w:t>Special circumstances  preventing exam</w:t>
            </w:r>
          </w:p>
        </w:tc>
      </w:tr>
      <w:tr w:rsidR="00612B73" w:rsidTr="00D72309">
        <w:tc>
          <w:tcPr>
            <w:tcW w:w="1675" w:type="dxa"/>
            <w:tcBorders>
              <w:bottom w:val="single" w:sz="4" w:space="0" w:color="auto"/>
            </w:tcBorders>
          </w:tcPr>
          <w:p w:rsidR="00612B73" w:rsidRDefault="00612B73" w:rsidP="00C84EC1">
            <w:pPr>
              <w:jc w:val="center"/>
              <w:rPr>
                <w:b/>
                <w:sz w:val="32"/>
                <w:szCs w:val="32"/>
              </w:rPr>
            </w:pPr>
          </w:p>
        </w:tc>
        <w:tc>
          <w:tcPr>
            <w:tcW w:w="2573" w:type="dxa"/>
            <w:tcBorders>
              <w:bottom w:val="single" w:sz="4" w:space="0" w:color="auto"/>
            </w:tcBorders>
          </w:tcPr>
          <w:p w:rsidR="00612B73" w:rsidRDefault="00612B73" w:rsidP="00C84EC1">
            <w:pPr>
              <w:jc w:val="center"/>
              <w:rPr>
                <w:b/>
                <w:sz w:val="32"/>
                <w:szCs w:val="32"/>
              </w:rPr>
            </w:pPr>
          </w:p>
        </w:tc>
        <w:tc>
          <w:tcPr>
            <w:tcW w:w="3420" w:type="dxa"/>
            <w:tcBorders>
              <w:bottom w:val="single" w:sz="4" w:space="0" w:color="auto"/>
            </w:tcBorders>
          </w:tcPr>
          <w:p w:rsidR="00612B73" w:rsidRDefault="00612B73" w:rsidP="00C84EC1">
            <w:pPr>
              <w:jc w:val="center"/>
              <w:rPr>
                <w:b/>
                <w:sz w:val="32"/>
                <w:szCs w:val="32"/>
              </w:rPr>
            </w:pPr>
          </w:p>
        </w:tc>
        <w:tc>
          <w:tcPr>
            <w:tcW w:w="1800" w:type="dxa"/>
            <w:tcBorders>
              <w:bottom w:val="single" w:sz="4" w:space="0" w:color="auto"/>
            </w:tcBorders>
          </w:tcPr>
          <w:p w:rsidR="00612B73" w:rsidRDefault="00612B73" w:rsidP="00C84EC1">
            <w:pPr>
              <w:jc w:val="center"/>
              <w:rPr>
                <w:b/>
                <w:sz w:val="32"/>
                <w:szCs w:val="32"/>
              </w:rPr>
            </w:pPr>
          </w:p>
        </w:tc>
        <w:tc>
          <w:tcPr>
            <w:tcW w:w="3600" w:type="dxa"/>
            <w:tcBorders>
              <w:bottom w:val="single" w:sz="4" w:space="0" w:color="auto"/>
            </w:tcBorders>
          </w:tcPr>
          <w:p w:rsidR="00612B73" w:rsidRDefault="00612B73" w:rsidP="00C84EC1">
            <w:pPr>
              <w:jc w:val="center"/>
              <w:rPr>
                <w:b/>
                <w:sz w:val="32"/>
                <w:szCs w:val="32"/>
              </w:rPr>
            </w:pPr>
          </w:p>
        </w:tc>
      </w:tr>
      <w:tr w:rsidR="00612B73" w:rsidTr="00D72309">
        <w:tc>
          <w:tcPr>
            <w:tcW w:w="1675" w:type="dxa"/>
            <w:shd w:val="clear" w:color="auto" w:fill="F2DBDB" w:themeFill="accent2" w:themeFillTint="33"/>
          </w:tcPr>
          <w:p w:rsidR="00612B73" w:rsidRDefault="00612B73" w:rsidP="00C84EC1">
            <w:pPr>
              <w:jc w:val="center"/>
              <w:rPr>
                <w:b/>
                <w:sz w:val="32"/>
                <w:szCs w:val="32"/>
              </w:rPr>
            </w:pPr>
          </w:p>
        </w:tc>
        <w:tc>
          <w:tcPr>
            <w:tcW w:w="2573" w:type="dxa"/>
            <w:shd w:val="clear" w:color="auto" w:fill="F2DBDB" w:themeFill="accent2" w:themeFillTint="33"/>
          </w:tcPr>
          <w:p w:rsidR="00612B73" w:rsidRDefault="00612B73" w:rsidP="00C84EC1">
            <w:pPr>
              <w:jc w:val="center"/>
              <w:rPr>
                <w:b/>
                <w:sz w:val="32"/>
                <w:szCs w:val="32"/>
              </w:rPr>
            </w:pPr>
          </w:p>
        </w:tc>
        <w:tc>
          <w:tcPr>
            <w:tcW w:w="3420" w:type="dxa"/>
            <w:shd w:val="clear" w:color="auto" w:fill="F2DBDB" w:themeFill="accent2" w:themeFillTint="33"/>
          </w:tcPr>
          <w:p w:rsidR="00612B73" w:rsidRDefault="00612B73" w:rsidP="00C84EC1">
            <w:pPr>
              <w:jc w:val="center"/>
              <w:rPr>
                <w:b/>
                <w:sz w:val="32"/>
                <w:szCs w:val="32"/>
              </w:rPr>
            </w:pPr>
          </w:p>
        </w:tc>
        <w:tc>
          <w:tcPr>
            <w:tcW w:w="1800" w:type="dxa"/>
            <w:shd w:val="clear" w:color="auto" w:fill="F2DBDB" w:themeFill="accent2" w:themeFillTint="33"/>
          </w:tcPr>
          <w:p w:rsidR="00612B73" w:rsidRDefault="00612B73" w:rsidP="00C84EC1">
            <w:pPr>
              <w:jc w:val="center"/>
              <w:rPr>
                <w:b/>
                <w:sz w:val="32"/>
                <w:szCs w:val="32"/>
              </w:rPr>
            </w:pPr>
          </w:p>
        </w:tc>
        <w:tc>
          <w:tcPr>
            <w:tcW w:w="3600" w:type="dxa"/>
            <w:shd w:val="clear" w:color="auto" w:fill="F2DBDB" w:themeFill="accent2" w:themeFillTint="33"/>
          </w:tcPr>
          <w:p w:rsidR="00612B73" w:rsidRDefault="00612B73" w:rsidP="00C84EC1">
            <w:pPr>
              <w:jc w:val="center"/>
              <w:rPr>
                <w:b/>
                <w:sz w:val="32"/>
                <w:szCs w:val="32"/>
              </w:rPr>
            </w:pPr>
          </w:p>
        </w:tc>
      </w:tr>
      <w:tr w:rsidR="00612B73" w:rsidTr="00D72309">
        <w:tc>
          <w:tcPr>
            <w:tcW w:w="1675" w:type="dxa"/>
            <w:tcBorders>
              <w:bottom w:val="single" w:sz="4" w:space="0" w:color="auto"/>
            </w:tcBorders>
          </w:tcPr>
          <w:p w:rsidR="00612B73" w:rsidRDefault="00612B73" w:rsidP="00C84EC1">
            <w:pPr>
              <w:jc w:val="center"/>
              <w:rPr>
                <w:b/>
                <w:sz w:val="32"/>
                <w:szCs w:val="32"/>
              </w:rPr>
            </w:pPr>
          </w:p>
        </w:tc>
        <w:tc>
          <w:tcPr>
            <w:tcW w:w="2573" w:type="dxa"/>
            <w:tcBorders>
              <w:bottom w:val="single" w:sz="4" w:space="0" w:color="auto"/>
            </w:tcBorders>
          </w:tcPr>
          <w:p w:rsidR="00612B73" w:rsidRDefault="00612B73" w:rsidP="00C84EC1">
            <w:pPr>
              <w:jc w:val="center"/>
              <w:rPr>
                <w:b/>
                <w:sz w:val="32"/>
                <w:szCs w:val="32"/>
              </w:rPr>
            </w:pPr>
          </w:p>
        </w:tc>
        <w:tc>
          <w:tcPr>
            <w:tcW w:w="3420" w:type="dxa"/>
            <w:tcBorders>
              <w:bottom w:val="single" w:sz="4" w:space="0" w:color="auto"/>
            </w:tcBorders>
          </w:tcPr>
          <w:p w:rsidR="00612B73" w:rsidRDefault="00612B73" w:rsidP="00C84EC1">
            <w:pPr>
              <w:jc w:val="center"/>
              <w:rPr>
                <w:b/>
                <w:sz w:val="32"/>
                <w:szCs w:val="32"/>
              </w:rPr>
            </w:pPr>
          </w:p>
        </w:tc>
        <w:tc>
          <w:tcPr>
            <w:tcW w:w="1800" w:type="dxa"/>
            <w:tcBorders>
              <w:bottom w:val="single" w:sz="4" w:space="0" w:color="auto"/>
            </w:tcBorders>
          </w:tcPr>
          <w:p w:rsidR="00612B73" w:rsidRDefault="00612B73" w:rsidP="00C84EC1">
            <w:pPr>
              <w:jc w:val="center"/>
              <w:rPr>
                <w:b/>
                <w:sz w:val="32"/>
                <w:szCs w:val="32"/>
              </w:rPr>
            </w:pPr>
          </w:p>
        </w:tc>
        <w:tc>
          <w:tcPr>
            <w:tcW w:w="3600" w:type="dxa"/>
            <w:tcBorders>
              <w:bottom w:val="single" w:sz="4" w:space="0" w:color="auto"/>
            </w:tcBorders>
          </w:tcPr>
          <w:p w:rsidR="00612B73" w:rsidRDefault="00612B73" w:rsidP="00C84EC1">
            <w:pPr>
              <w:jc w:val="center"/>
              <w:rPr>
                <w:b/>
                <w:sz w:val="32"/>
                <w:szCs w:val="32"/>
              </w:rPr>
            </w:pPr>
          </w:p>
        </w:tc>
      </w:tr>
      <w:tr w:rsidR="00612B73" w:rsidTr="00D72309">
        <w:tc>
          <w:tcPr>
            <w:tcW w:w="1675" w:type="dxa"/>
            <w:shd w:val="clear" w:color="auto" w:fill="F2DBDB" w:themeFill="accent2" w:themeFillTint="33"/>
          </w:tcPr>
          <w:p w:rsidR="00612B73" w:rsidRDefault="00612B73" w:rsidP="00C84EC1">
            <w:pPr>
              <w:jc w:val="center"/>
              <w:rPr>
                <w:b/>
                <w:sz w:val="32"/>
                <w:szCs w:val="32"/>
              </w:rPr>
            </w:pPr>
          </w:p>
        </w:tc>
        <w:tc>
          <w:tcPr>
            <w:tcW w:w="2573" w:type="dxa"/>
            <w:shd w:val="clear" w:color="auto" w:fill="F2DBDB" w:themeFill="accent2" w:themeFillTint="33"/>
          </w:tcPr>
          <w:p w:rsidR="00612B73" w:rsidRDefault="00612B73" w:rsidP="00C84EC1">
            <w:pPr>
              <w:jc w:val="center"/>
              <w:rPr>
                <w:b/>
                <w:sz w:val="32"/>
                <w:szCs w:val="32"/>
              </w:rPr>
            </w:pPr>
          </w:p>
        </w:tc>
        <w:tc>
          <w:tcPr>
            <w:tcW w:w="3420" w:type="dxa"/>
            <w:shd w:val="clear" w:color="auto" w:fill="F2DBDB" w:themeFill="accent2" w:themeFillTint="33"/>
          </w:tcPr>
          <w:p w:rsidR="00612B73" w:rsidRDefault="00612B73" w:rsidP="00C84EC1">
            <w:pPr>
              <w:jc w:val="center"/>
              <w:rPr>
                <w:b/>
                <w:sz w:val="32"/>
                <w:szCs w:val="32"/>
              </w:rPr>
            </w:pPr>
          </w:p>
        </w:tc>
        <w:tc>
          <w:tcPr>
            <w:tcW w:w="1800" w:type="dxa"/>
            <w:shd w:val="clear" w:color="auto" w:fill="F2DBDB" w:themeFill="accent2" w:themeFillTint="33"/>
          </w:tcPr>
          <w:p w:rsidR="00612B73" w:rsidRDefault="00612B73" w:rsidP="00C84EC1">
            <w:pPr>
              <w:jc w:val="center"/>
              <w:rPr>
                <w:b/>
                <w:sz w:val="32"/>
                <w:szCs w:val="32"/>
              </w:rPr>
            </w:pPr>
          </w:p>
        </w:tc>
        <w:tc>
          <w:tcPr>
            <w:tcW w:w="3600" w:type="dxa"/>
            <w:shd w:val="clear" w:color="auto" w:fill="F2DBDB" w:themeFill="accent2" w:themeFillTint="33"/>
          </w:tcPr>
          <w:p w:rsidR="00612B73" w:rsidRDefault="00612B73" w:rsidP="00C84EC1">
            <w:pPr>
              <w:jc w:val="center"/>
              <w:rPr>
                <w:b/>
                <w:sz w:val="32"/>
                <w:szCs w:val="32"/>
              </w:rPr>
            </w:pPr>
          </w:p>
        </w:tc>
      </w:tr>
      <w:tr w:rsidR="00612B73" w:rsidTr="00D72309">
        <w:tc>
          <w:tcPr>
            <w:tcW w:w="1675" w:type="dxa"/>
            <w:tcBorders>
              <w:bottom w:val="single" w:sz="4" w:space="0" w:color="auto"/>
            </w:tcBorders>
          </w:tcPr>
          <w:p w:rsidR="00612B73" w:rsidRDefault="00612B73" w:rsidP="00C84EC1">
            <w:pPr>
              <w:jc w:val="center"/>
              <w:rPr>
                <w:b/>
                <w:sz w:val="32"/>
                <w:szCs w:val="32"/>
              </w:rPr>
            </w:pPr>
          </w:p>
        </w:tc>
        <w:tc>
          <w:tcPr>
            <w:tcW w:w="2573" w:type="dxa"/>
            <w:tcBorders>
              <w:bottom w:val="single" w:sz="4" w:space="0" w:color="auto"/>
            </w:tcBorders>
          </w:tcPr>
          <w:p w:rsidR="00612B73" w:rsidRDefault="00612B73" w:rsidP="00C84EC1">
            <w:pPr>
              <w:jc w:val="center"/>
              <w:rPr>
                <w:b/>
                <w:sz w:val="32"/>
                <w:szCs w:val="32"/>
              </w:rPr>
            </w:pPr>
          </w:p>
        </w:tc>
        <w:tc>
          <w:tcPr>
            <w:tcW w:w="3420" w:type="dxa"/>
            <w:tcBorders>
              <w:bottom w:val="single" w:sz="4" w:space="0" w:color="auto"/>
            </w:tcBorders>
          </w:tcPr>
          <w:p w:rsidR="00612B73" w:rsidRDefault="00612B73" w:rsidP="00C84EC1">
            <w:pPr>
              <w:jc w:val="center"/>
              <w:rPr>
                <w:b/>
                <w:sz w:val="32"/>
                <w:szCs w:val="32"/>
              </w:rPr>
            </w:pPr>
          </w:p>
        </w:tc>
        <w:tc>
          <w:tcPr>
            <w:tcW w:w="1800" w:type="dxa"/>
            <w:tcBorders>
              <w:bottom w:val="single" w:sz="4" w:space="0" w:color="auto"/>
            </w:tcBorders>
          </w:tcPr>
          <w:p w:rsidR="00612B73" w:rsidRDefault="00612B73" w:rsidP="00C84EC1">
            <w:pPr>
              <w:jc w:val="center"/>
              <w:rPr>
                <w:b/>
                <w:sz w:val="32"/>
                <w:szCs w:val="32"/>
              </w:rPr>
            </w:pPr>
          </w:p>
        </w:tc>
        <w:tc>
          <w:tcPr>
            <w:tcW w:w="3600" w:type="dxa"/>
            <w:tcBorders>
              <w:bottom w:val="single" w:sz="4" w:space="0" w:color="auto"/>
            </w:tcBorders>
          </w:tcPr>
          <w:p w:rsidR="00612B73" w:rsidRDefault="00612B73" w:rsidP="00C84EC1">
            <w:pPr>
              <w:jc w:val="center"/>
              <w:rPr>
                <w:b/>
                <w:sz w:val="32"/>
                <w:szCs w:val="32"/>
              </w:rPr>
            </w:pPr>
          </w:p>
        </w:tc>
      </w:tr>
      <w:tr w:rsidR="00612B73" w:rsidRPr="00D72309" w:rsidTr="00D72309">
        <w:tc>
          <w:tcPr>
            <w:tcW w:w="1675" w:type="dxa"/>
            <w:shd w:val="clear" w:color="auto" w:fill="F2DBDB" w:themeFill="accent2" w:themeFillTint="33"/>
          </w:tcPr>
          <w:p w:rsidR="00612B73" w:rsidRPr="00D72309" w:rsidRDefault="00612B73" w:rsidP="00C84EC1">
            <w:pPr>
              <w:jc w:val="center"/>
              <w:rPr>
                <w:sz w:val="32"/>
                <w:szCs w:val="32"/>
              </w:rPr>
            </w:pPr>
          </w:p>
        </w:tc>
        <w:tc>
          <w:tcPr>
            <w:tcW w:w="2573" w:type="dxa"/>
            <w:shd w:val="clear" w:color="auto" w:fill="F2DBDB" w:themeFill="accent2" w:themeFillTint="33"/>
          </w:tcPr>
          <w:p w:rsidR="00612B73" w:rsidRPr="00D72309" w:rsidRDefault="00612B73" w:rsidP="00C84EC1">
            <w:pPr>
              <w:jc w:val="center"/>
              <w:rPr>
                <w:sz w:val="32"/>
                <w:szCs w:val="32"/>
              </w:rPr>
            </w:pPr>
          </w:p>
        </w:tc>
        <w:tc>
          <w:tcPr>
            <w:tcW w:w="3420" w:type="dxa"/>
            <w:shd w:val="clear" w:color="auto" w:fill="F2DBDB" w:themeFill="accent2" w:themeFillTint="33"/>
          </w:tcPr>
          <w:p w:rsidR="00612B73" w:rsidRPr="00D72309" w:rsidRDefault="00612B73" w:rsidP="00C84EC1">
            <w:pPr>
              <w:jc w:val="center"/>
              <w:rPr>
                <w:sz w:val="32"/>
                <w:szCs w:val="32"/>
              </w:rPr>
            </w:pPr>
          </w:p>
        </w:tc>
        <w:tc>
          <w:tcPr>
            <w:tcW w:w="1800" w:type="dxa"/>
            <w:shd w:val="clear" w:color="auto" w:fill="F2DBDB" w:themeFill="accent2" w:themeFillTint="33"/>
          </w:tcPr>
          <w:p w:rsidR="00612B73" w:rsidRPr="00D72309" w:rsidRDefault="00612B73" w:rsidP="00C84EC1">
            <w:pPr>
              <w:jc w:val="center"/>
              <w:rPr>
                <w:sz w:val="32"/>
                <w:szCs w:val="32"/>
              </w:rPr>
            </w:pPr>
          </w:p>
        </w:tc>
        <w:tc>
          <w:tcPr>
            <w:tcW w:w="3600" w:type="dxa"/>
            <w:shd w:val="clear" w:color="auto" w:fill="F2DBDB" w:themeFill="accent2" w:themeFillTint="33"/>
          </w:tcPr>
          <w:p w:rsidR="00612B73" w:rsidRPr="00D72309" w:rsidRDefault="00612B73" w:rsidP="00C84EC1">
            <w:pPr>
              <w:jc w:val="center"/>
              <w:rPr>
                <w:sz w:val="32"/>
                <w:szCs w:val="32"/>
              </w:rPr>
            </w:pPr>
          </w:p>
        </w:tc>
      </w:tr>
    </w:tbl>
    <w:p w:rsidR="00C84EC1" w:rsidRPr="00D72309" w:rsidRDefault="00C84EC1" w:rsidP="00C84EC1">
      <w:pPr>
        <w:rPr>
          <w:sz w:val="32"/>
          <w:szCs w:val="32"/>
        </w:rPr>
      </w:pPr>
    </w:p>
    <w:p w:rsidR="00612B73" w:rsidRPr="00612B73" w:rsidRDefault="00612B73" w:rsidP="00C84EC1">
      <w:pPr>
        <w:rPr>
          <w:b/>
          <w:sz w:val="18"/>
          <w:szCs w:val="18"/>
        </w:rPr>
      </w:pPr>
      <w:r w:rsidRPr="00612B73">
        <w:rPr>
          <w:b/>
          <w:sz w:val="18"/>
          <w:szCs w:val="18"/>
        </w:rPr>
        <w:t xml:space="preserve">Student ID – </w:t>
      </w:r>
      <w:r w:rsidRPr="00612B73">
        <w:rPr>
          <w:sz w:val="18"/>
          <w:szCs w:val="18"/>
        </w:rPr>
        <w:t>This can be a district ID, the child’s name, or the SSID.  Using the EMIS SSID will make it much easier for you to troubleshoot if the counts of IIEPs reported here do not match the counts of IIEPs in EMIS.</w:t>
      </w:r>
      <w:r w:rsidRPr="00612B73">
        <w:rPr>
          <w:b/>
          <w:sz w:val="18"/>
          <w:szCs w:val="18"/>
        </w:rPr>
        <w:t xml:space="preserve"> </w:t>
      </w:r>
    </w:p>
    <w:p w:rsidR="00612B73" w:rsidRPr="00612B73" w:rsidRDefault="00612B73" w:rsidP="00C84EC1">
      <w:pPr>
        <w:rPr>
          <w:sz w:val="18"/>
          <w:szCs w:val="18"/>
        </w:rPr>
      </w:pPr>
      <w:r w:rsidRPr="00612B73">
        <w:rPr>
          <w:b/>
          <w:sz w:val="18"/>
          <w:szCs w:val="18"/>
        </w:rPr>
        <w:t>Date Initial IEP’s Services</w:t>
      </w:r>
      <w:r>
        <w:rPr>
          <w:b/>
          <w:sz w:val="32"/>
          <w:szCs w:val="32"/>
        </w:rPr>
        <w:t xml:space="preserve"> </w:t>
      </w:r>
      <w:r w:rsidRPr="00612B73">
        <w:rPr>
          <w:b/>
          <w:sz w:val="18"/>
          <w:szCs w:val="18"/>
        </w:rPr>
        <w:t xml:space="preserve">Began – </w:t>
      </w:r>
      <w:r w:rsidRPr="00612B73">
        <w:rPr>
          <w:sz w:val="18"/>
          <w:szCs w:val="18"/>
        </w:rPr>
        <w:t>For all Initial IEPs written after July 1, 2012. This should match the begin date in EMIS.</w:t>
      </w:r>
    </w:p>
    <w:p w:rsidR="00C84EC1" w:rsidRDefault="00C84EC1" w:rsidP="00C84EC1">
      <w:pPr>
        <w:rPr>
          <w:sz w:val="18"/>
          <w:szCs w:val="18"/>
        </w:rPr>
      </w:pPr>
      <w:r w:rsidRPr="00612B73">
        <w:rPr>
          <w:b/>
          <w:sz w:val="18"/>
          <w:szCs w:val="18"/>
        </w:rPr>
        <w:t xml:space="preserve">Date of eye exam </w:t>
      </w:r>
      <w:r w:rsidRPr="00612B73">
        <w:rPr>
          <w:sz w:val="18"/>
          <w:szCs w:val="18"/>
        </w:rPr>
        <w:t xml:space="preserve">– </w:t>
      </w:r>
      <w:r w:rsidR="00612B73">
        <w:rPr>
          <w:sz w:val="18"/>
          <w:szCs w:val="18"/>
        </w:rPr>
        <w:t>S.B. 316</w:t>
      </w:r>
      <w:r w:rsidRPr="00612B73">
        <w:rPr>
          <w:sz w:val="18"/>
          <w:szCs w:val="18"/>
        </w:rPr>
        <w:t>l requires exam within nine months prior to IEP implementation, or within three months after implementation.</w:t>
      </w:r>
    </w:p>
    <w:p w:rsidR="00C84EC1" w:rsidRPr="00D72309" w:rsidRDefault="00612B73" w:rsidP="00C84EC1">
      <w:pPr>
        <w:rPr>
          <w:sz w:val="18"/>
          <w:szCs w:val="18"/>
        </w:rPr>
      </w:pPr>
      <w:r>
        <w:rPr>
          <w:b/>
          <w:sz w:val="18"/>
          <w:szCs w:val="18"/>
        </w:rPr>
        <w:t xml:space="preserve">Special circumstances preventing exam:  </w:t>
      </w:r>
      <w:r>
        <w:rPr>
          <w:sz w:val="18"/>
          <w:szCs w:val="18"/>
        </w:rPr>
        <w:t>If there is no date of an eye exam, this information must be provided. Examples are parental refusal, hospitalization of the chi</w:t>
      </w:r>
      <w:r w:rsidR="00522F9C">
        <w:rPr>
          <w:sz w:val="18"/>
          <w:szCs w:val="18"/>
        </w:rPr>
        <w:t>ld, incarceration of the child</w:t>
      </w:r>
    </w:p>
    <w:sectPr w:rsidR="00C84EC1" w:rsidRPr="00D72309" w:rsidSect="00C84EC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EC1"/>
    <w:rsid w:val="00005560"/>
    <w:rsid w:val="000219FC"/>
    <w:rsid w:val="00024C0F"/>
    <w:rsid w:val="0004393D"/>
    <w:rsid w:val="00074A3C"/>
    <w:rsid w:val="00097CB0"/>
    <w:rsid w:val="000B2C24"/>
    <w:rsid w:val="000F3424"/>
    <w:rsid w:val="0011239C"/>
    <w:rsid w:val="00136789"/>
    <w:rsid w:val="001A7CB8"/>
    <w:rsid w:val="001E1502"/>
    <w:rsid w:val="00274784"/>
    <w:rsid w:val="00274A8E"/>
    <w:rsid w:val="00285AE3"/>
    <w:rsid w:val="002A5E61"/>
    <w:rsid w:val="002D154B"/>
    <w:rsid w:val="00396371"/>
    <w:rsid w:val="003A3399"/>
    <w:rsid w:val="003C5B1E"/>
    <w:rsid w:val="003D6436"/>
    <w:rsid w:val="003E6913"/>
    <w:rsid w:val="003F2D13"/>
    <w:rsid w:val="0043079F"/>
    <w:rsid w:val="00430B6F"/>
    <w:rsid w:val="00474627"/>
    <w:rsid w:val="00491331"/>
    <w:rsid w:val="004D029B"/>
    <w:rsid w:val="004D6A35"/>
    <w:rsid w:val="004E352C"/>
    <w:rsid w:val="004E4C15"/>
    <w:rsid w:val="00522F9C"/>
    <w:rsid w:val="005957CF"/>
    <w:rsid w:val="005A5BB2"/>
    <w:rsid w:val="005A7814"/>
    <w:rsid w:val="005D5D33"/>
    <w:rsid w:val="00603EAD"/>
    <w:rsid w:val="0060642A"/>
    <w:rsid w:val="00612B73"/>
    <w:rsid w:val="00644105"/>
    <w:rsid w:val="006966AB"/>
    <w:rsid w:val="006A46CC"/>
    <w:rsid w:val="006D0F14"/>
    <w:rsid w:val="006E04B7"/>
    <w:rsid w:val="006E2496"/>
    <w:rsid w:val="00706E30"/>
    <w:rsid w:val="0071221D"/>
    <w:rsid w:val="007549C6"/>
    <w:rsid w:val="00754FE3"/>
    <w:rsid w:val="007670C8"/>
    <w:rsid w:val="007B0D09"/>
    <w:rsid w:val="00814DF5"/>
    <w:rsid w:val="00856E76"/>
    <w:rsid w:val="008718E9"/>
    <w:rsid w:val="00883A3A"/>
    <w:rsid w:val="008A6307"/>
    <w:rsid w:val="008B39C5"/>
    <w:rsid w:val="00910F9D"/>
    <w:rsid w:val="00917729"/>
    <w:rsid w:val="009D1045"/>
    <w:rsid w:val="009F4F53"/>
    <w:rsid w:val="00A05E9A"/>
    <w:rsid w:val="00A316A7"/>
    <w:rsid w:val="00A322BA"/>
    <w:rsid w:val="00A571FC"/>
    <w:rsid w:val="00A67636"/>
    <w:rsid w:val="00A72F6E"/>
    <w:rsid w:val="00A74A00"/>
    <w:rsid w:val="00A81BB1"/>
    <w:rsid w:val="00AA6E5A"/>
    <w:rsid w:val="00AD719A"/>
    <w:rsid w:val="00AF05BC"/>
    <w:rsid w:val="00AF3016"/>
    <w:rsid w:val="00AF75C5"/>
    <w:rsid w:val="00B510F8"/>
    <w:rsid w:val="00B5248D"/>
    <w:rsid w:val="00B82FD5"/>
    <w:rsid w:val="00B9503B"/>
    <w:rsid w:val="00BC30D1"/>
    <w:rsid w:val="00BC5FC0"/>
    <w:rsid w:val="00BE0F87"/>
    <w:rsid w:val="00C1453C"/>
    <w:rsid w:val="00C228CA"/>
    <w:rsid w:val="00C53599"/>
    <w:rsid w:val="00C81BD3"/>
    <w:rsid w:val="00C84EC1"/>
    <w:rsid w:val="00CA2EA3"/>
    <w:rsid w:val="00CC3941"/>
    <w:rsid w:val="00CD321E"/>
    <w:rsid w:val="00CF56AF"/>
    <w:rsid w:val="00D00EA8"/>
    <w:rsid w:val="00D14E5B"/>
    <w:rsid w:val="00D275A9"/>
    <w:rsid w:val="00D40D4E"/>
    <w:rsid w:val="00D62D36"/>
    <w:rsid w:val="00D72309"/>
    <w:rsid w:val="00D80B7D"/>
    <w:rsid w:val="00DA4E8C"/>
    <w:rsid w:val="00DD1924"/>
    <w:rsid w:val="00DD4D4D"/>
    <w:rsid w:val="00DE10E8"/>
    <w:rsid w:val="00DE1EA6"/>
    <w:rsid w:val="00DE4604"/>
    <w:rsid w:val="00E022D4"/>
    <w:rsid w:val="00E0511D"/>
    <w:rsid w:val="00E144D1"/>
    <w:rsid w:val="00E312F1"/>
    <w:rsid w:val="00E57C54"/>
    <w:rsid w:val="00E62874"/>
    <w:rsid w:val="00EA59A7"/>
    <w:rsid w:val="00EC3160"/>
    <w:rsid w:val="00ED3FB4"/>
    <w:rsid w:val="00EE1440"/>
    <w:rsid w:val="00EE23D5"/>
    <w:rsid w:val="00F572EA"/>
    <w:rsid w:val="00F732FB"/>
    <w:rsid w:val="00F9241F"/>
    <w:rsid w:val="00FB4F4A"/>
    <w:rsid w:val="00FD45FA"/>
    <w:rsid w:val="00FD5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22F9C"/>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22F9C"/>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Skaggs, Anne</dc:creator>
  <cp:lastModifiedBy>Skaggs, Anne</cp:lastModifiedBy>
  <cp:revision>2</cp:revision>
  <dcterms:created xsi:type="dcterms:W3CDTF">2012-09-21T17:39:00Z</dcterms:created>
  <dcterms:modified xsi:type="dcterms:W3CDTF">2012-09-21T17:39:00Z</dcterms:modified>
</cp:coreProperties>
</file>